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Lista anual de material para 6° Grado (Personal)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-316697</wp:posOffset>
            </wp:positionH>
            <wp:positionV relativeFrom="paragraph">
              <wp:posOffset>-637566</wp:posOffset>
            </wp:positionV>
            <wp:extent cx="977900" cy="1028700"/>
            <wp:effectExtent b="0" l="0" r="0" t="0"/>
            <wp:wrapNone/>
            <wp:docPr descr="jp" id="1" name="image1.jpg"/>
            <a:graphic>
              <a:graphicData uri="http://schemas.openxmlformats.org/drawingml/2006/picture">
                <pic:pic>
                  <pic:nvPicPr>
                    <pic:cNvPr descr="jp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Ciclo escolar 2020-2021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</w:t>
        <w:tab/>
        <w:t xml:space="preserve">Calculadora sencilla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          Cuaderno de rayas sin espiral de 50 hojas tipo italiano.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5</w:t>
        <w:tab/>
        <w:t xml:space="preserve">Cuadernos de rayas sin espiral de 100 hojas tipo italiano.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          Cuaderno de cuadros grandes sin espiral de 100 hojas tipo italiano.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          Cuaderno de cuadros grandes sin espiral de 50 hojas tipo italiano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</w:t>
        <w:tab/>
        <w:t xml:space="preserve">Caja de 12 colores de madera.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</w:t>
        <w:tab/>
        <w:t xml:space="preserve">Pritts.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</w:t>
        <w:tab/>
        <w:t xml:space="preserve">Gomas.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</w:t>
        <w:tab/>
        <w:t xml:space="preserve">Sacapuntas.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7</w:t>
        <w:tab/>
        <w:t xml:space="preserve">Lápices Maped o Pelikan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</w:t>
        <w:tab/>
        <w:t xml:space="preserve">Plumas rojas.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</w:t>
        <w:tab/>
        <w:t xml:space="preserve">Plumas negras.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</w:t>
        <w:tab/>
        <w:t xml:space="preserve">Plumas verdes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          Reglas de 30 cm.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</w:t>
        <w:tab/>
        <w:t xml:space="preserve">Estuches de bolsa con cierre. ( </w:t>
      </w:r>
      <w:r w:rsidDel="00000000" w:rsidR="00000000" w:rsidRPr="00000000">
        <w:rPr>
          <w:u w:val="single"/>
          <w:rtl w:val="0"/>
        </w:rPr>
        <w:t xml:space="preserve">no cajas</w:t>
      </w:r>
      <w:r w:rsidDel="00000000" w:rsidR="00000000" w:rsidRPr="00000000">
        <w:rPr>
          <w:rtl w:val="0"/>
        </w:rPr>
        <w:t xml:space="preserve">) (Pueden ser los del ciclo pasado)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 </w:t>
        <w:tab/>
        <w:t xml:space="preserve">Diccionario Larousse para 6° grado (Puede usarse el del ciclo pasado)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 </w:t>
        <w:tab/>
        <w:t xml:space="preserve">Diccionario español-inglés (Puede ser el del ciclo pasado)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         Tijeras buenas sin punta.(Pueden ser del ciclo pasado)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</w:t>
        <w:tab/>
        <w:t xml:space="preserve">Paquete de bolígrafos de colores (no de gel) 12 colores.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4</w:t>
        <w:tab/>
        <w:t xml:space="preserve">Rollos de papel higiénico.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</w:t>
        <w:tab/>
        <w:t xml:space="preserve">Candado con dos llaves.(Puede ser del ciclo pasado)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</w:t>
        <w:tab/>
        <w:t xml:space="preserve">Bolsas grandes Ziploc con nombre para guardar su material.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</w:t>
        <w:tab/>
        <w:t xml:space="preserve">Marcatextos de cualquier color.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4</w:t>
        <w:tab/>
        <w:t xml:space="preserve">Metros de papel América color: 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*     Se está considerando el material de reserva que quedó del alumno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*      Los cuadernos del ciclo anterior que aún tengan hojas podrán ser utilizados.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*    Pueden utilizar el material en buenas condiciones del año pasado.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*     Los cuadernos  deberán estar forrados con el forro que gusten y con nombre, así como los colores, lápices, pritts, reglas, gomas, sacapuntas, etc, etiquetar individualmente.(favor de no forrar con plástico)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 *   Se utilizan los libros SEP.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      Ponerle el nombre del niño en el lomo. ( No se forran)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 *   Para la casa: Es importante que el niño tenga tijeras, pritt, colores, regla, lápices etc. ya que el material de la escuela no puede ser llevado a casa.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 *   Favor de traer los útiles completos en una bolsa de plástico, de preferencia ecológica o en caja de cartón, ( se les devolverá) , con el nombre del alumno. Fecha pendiente por confirmar.</w: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